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AA1A10"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F13775">
        <w:rPr>
          <w:rFonts w:ascii="Arial" w:eastAsia="宋体" w:hAnsi="Arial" w:cs="Arial"/>
          <w:b/>
          <w:sz w:val="24"/>
          <w:lang w:val="en-GB" w:eastAsia="ko-KR"/>
        </w:rPr>
        <w:t>106</w:t>
      </w:r>
      <w:r w:rsidR="008A6635">
        <w:rPr>
          <w:rFonts w:ascii="Arial" w:eastAsia="宋体" w:hAnsi="Arial" w:cs="Arial"/>
          <w:b/>
          <w:sz w:val="24"/>
          <w:lang w:val="en-GB" w:eastAsia="ko-KR"/>
        </w:rPr>
        <w:tab/>
      </w:r>
      <w:r>
        <w:rPr>
          <w:rFonts w:ascii="Arial" w:eastAsia="宋体" w:hAnsi="Arial" w:cs="Arial"/>
          <w:b/>
          <w:sz w:val="24"/>
          <w:lang w:val="en-GB" w:eastAsia="ko-KR"/>
        </w:rPr>
        <w:tab/>
      </w:r>
      <w:r w:rsidR="00247235" w:rsidRPr="00247235">
        <w:rPr>
          <w:rFonts w:ascii="Arial" w:eastAsia="宋体" w:hAnsi="Arial" w:cs="Arial"/>
          <w:b/>
          <w:sz w:val="24"/>
          <w:lang w:val="en-GB" w:eastAsia="ko-KR"/>
        </w:rPr>
        <w:t>R4-2</w:t>
      </w:r>
      <w:r w:rsidR="00F13775">
        <w:rPr>
          <w:rFonts w:ascii="Arial" w:eastAsia="宋体" w:hAnsi="Arial" w:cs="Arial"/>
          <w:b/>
          <w:sz w:val="24"/>
          <w:lang w:val="en-GB" w:eastAsia="ko-KR"/>
        </w:rPr>
        <w:t>30</w:t>
      </w:r>
      <w:r w:rsidR="00E31398">
        <w:rPr>
          <w:rFonts w:ascii="Arial" w:eastAsia="宋体" w:hAnsi="Arial" w:cs="Arial"/>
          <w:b/>
          <w:sz w:val="24"/>
          <w:lang w:val="en-GB" w:eastAsia="ko-KR"/>
        </w:rPr>
        <w:t>0893</w:t>
      </w:r>
    </w:p>
    <w:p w:rsidR="00A44F96" w:rsidRPr="00B40311" w:rsidRDefault="00F1377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Athens</w:t>
      </w:r>
      <w:r w:rsidRPr="00902E98">
        <w:rPr>
          <w:rFonts w:ascii="Arial" w:eastAsia="宋体" w:hAnsi="Arial" w:cs="Arial"/>
          <w:b/>
          <w:sz w:val="24"/>
          <w:lang w:val="en-GB" w:eastAsia="ko-KR"/>
        </w:rPr>
        <w:t>,</w:t>
      </w:r>
      <w:r>
        <w:rPr>
          <w:rFonts w:ascii="Arial" w:eastAsia="宋体" w:hAnsi="Arial" w:cs="Arial"/>
          <w:b/>
          <w:sz w:val="24"/>
          <w:lang w:val="en-GB" w:eastAsia="ko-KR"/>
        </w:rPr>
        <w:t xml:space="preserve"> Greece,</w:t>
      </w:r>
      <w:r w:rsidRPr="00902E98">
        <w:rPr>
          <w:rFonts w:ascii="Arial" w:eastAsia="宋体" w:hAnsi="Arial" w:cs="Arial"/>
          <w:b/>
          <w:sz w:val="24"/>
          <w:lang w:val="en-GB" w:eastAsia="ko-KR"/>
        </w:rPr>
        <w:t xml:space="preserve"> </w:t>
      </w:r>
      <w:r>
        <w:rPr>
          <w:rFonts w:ascii="Arial" w:eastAsia="宋体" w:hAnsi="Arial" w:cs="Arial"/>
          <w:b/>
          <w:sz w:val="24"/>
          <w:lang w:val="en-GB" w:eastAsia="ko-KR"/>
        </w:rPr>
        <w:t>27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Feb. </w:t>
      </w:r>
      <w:r w:rsidRPr="00902E98">
        <w:rPr>
          <w:rFonts w:ascii="Arial" w:eastAsia="宋体" w:hAnsi="Arial" w:cs="Arial"/>
          <w:b/>
          <w:sz w:val="24"/>
          <w:lang w:val="en-GB" w:eastAsia="ko-KR"/>
        </w:rPr>
        <w:t xml:space="preserve">– </w:t>
      </w:r>
      <w:r>
        <w:rPr>
          <w:rFonts w:ascii="Arial" w:eastAsia="宋体" w:hAnsi="Arial" w:cs="Arial"/>
          <w:b/>
          <w:sz w:val="24"/>
          <w:lang w:val="en-GB" w:eastAsia="ko-KR"/>
        </w:rPr>
        <w:t>3</w:t>
      </w:r>
      <w:r>
        <w:rPr>
          <w:rFonts w:ascii="Arial" w:eastAsia="宋体" w:hAnsi="Arial" w:cs="Arial"/>
          <w:b/>
          <w:sz w:val="24"/>
          <w:vertAlign w:val="superscript"/>
          <w:lang w:val="en-GB" w:eastAsia="ko-KR"/>
        </w:rPr>
        <w:t>rd</w:t>
      </w:r>
      <w:r w:rsidRPr="00902E98">
        <w:rPr>
          <w:rFonts w:ascii="Arial" w:eastAsia="宋体" w:hAnsi="Arial" w:cs="Arial"/>
          <w:b/>
          <w:sz w:val="24"/>
          <w:lang w:val="en-GB" w:eastAsia="ko-KR"/>
        </w:rPr>
        <w:t xml:space="preserve"> </w:t>
      </w:r>
      <w:r>
        <w:rPr>
          <w:rFonts w:ascii="Arial" w:eastAsia="宋体" w:hAnsi="Arial" w:cs="Arial"/>
          <w:b/>
          <w:sz w:val="24"/>
          <w:lang w:val="en-GB"/>
        </w:rPr>
        <w:t>Mar.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827F1">
        <w:rPr>
          <w:rFonts w:ascii="Arial" w:eastAsia="宋体" w:hAnsi="Arial" w:cs="Arial"/>
          <w:b/>
          <w:sz w:val="24"/>
          <w:lang w:val="en-GB" w:eastAsia="ko-KR"/>
        </w:rPr>
        <w:t>Di</w:t>
      </w:r>
      <w:r w:rsidR="00BE3F60" w:rsidRPr="00BE3F60">
        <w:rPr>
          <w:rFonts w:ascii="Arial" w:eastAsia="宋体" w:hAnsi="Arial" w:cs="Arial"/>
          <w:b/>
          <w:sz w:val="24"/>
          <w:lang w:val="en-GB" w:eastAsia="ko-KR"/>
        </w:rPr>
        <w:t>scuss</w:t>
      </w:r>
      <w:r w:rsidR="008827F1">
        <w:rPr>
          <w:rFonts w:ascii="Arial" w:eastAsia="宋体" w:hAnsi="Arial" w:cs="Arial"/>
          <w:b/>
          <w:sz w:val="24"/>
          <w:lang w:val="en-GB" w:eastAsia="ko-KR"/>
        </w:rPr>
        <w:t>ion</w:t>
      </w:r>
      <w:r w:rsidR="00BE3F60" w:rsidRPr="00BE3F60">
        <w:rPr>
          <w:rFonts w:ascii="Arial" w:eastAsia="宋体" w:hAnsi="Arial" w:cs="Arial"/>
          <w:b/>
          <w:sz w:val="24"/>
          <w:lang w:val="en-GB" w:eastAsia="ko-KR"/>
        </w:rPr>
        <w:t xml:space="preserve"> on</w:t>
      </w:r>
      <w:r w:rsidR="005B5D35">
        <w:rPr>
          <w:rFonts w:ascii="Arial" w:eastAsia="宋体" w:hAnsi="Arial" w:cs="Arial"/>
          <w:b/>
          <w:sz w:val="24"/>
          <w:lang w:val="en-GB" w:eastAsia="ko-KR"/>
        </w:rPr>
        <w:t xml:space="preserve"> </w:t>
      </w:r>
      <w:r w:rsidR="0063287F">
        <w:rPr>
          <w:rFonts w:ascii="Arial" w:eastAsia="宋体" w:hAnsi="Arial" w:cs="Arial"/>
          <w:b/>
          <w:sz w:val="24"/>
          <w:lang w:val="en-GB"/>
        </w:rPr>
        <w:t xml:space="preserve">improvement </w:t>
      </w:r>
      <w:r w:rsidR="00F13775">
        <w:rPr>
          <w:rFonts w:ascii="Arial" w:eastAsia="宋体" w:hAnsi="Arial" w:cs="Arial"/>
          <w:b/>
          <w:sz w:val="24"/>
          <w:lang w:val="en-GB"/>
        </w:rPr>
        <w:t>on</w:t>
      </w:r>
      <w:r w:rsidR="0063287F">
        <w:rPr>
          <w:rFonts w:ascii="Arial" w:eastAsia="宋体" w:hAnsi="Arial" w:cs="Arial"/>
          <w:b/>
          <w:sz w:val="24"/>
          <w:lang w:val="en-GB"/>
        </w:rPr>
        <w:t xml:space="preserve"> SC</w:t>
      </w:r>
      <w:r w:rsidR="0063287F" w:rsidRPr="0063287F">
        <w:rPr>
          <w:rFonts w:ascii="Arial" w:eastAsia="宋体" w:hAnsi="Arial" w:cs="Arial"/>
          <w:b/>
          <w:sz w:val="24"/>
          <w:lang w:val="en-GB"/>
        </w:rPr>
        <w:t>ell</w:t>
      </w:r>
      <w:r w:rsidR="0063287F">
        <w:rPr>
          <w:rFonts w:ascii="Arial" w:eastAsia="宋体" w:hAnsi="Arial" w:cs="Arial"/>
          <w:b/>
          <w:sz w:val="24"/>
          <w:lang w:val="en-GB"/>
        </w:rPr>
        <w:t>/</w:t>
      </w:r>
      <w:r w:rsidR="0063287F" w:rsidRPr="0063287F">
        <w:rPr>
          <w:rFonts w:ascii="Arial" w:eastAsia="宋体" w:hAnsi="Arial" w:cs="Arial"/>
          <w:b/>
          <w:sz w:val="24"/>
          <w:lang w:val="en-GB"/>
        </w:rPr>
        <w:t xml:space="preserve">SCG setup </w:t>
      </w:r>
      <w:r w:rsidR="00F13775">
        <w:rPr>
          <w:rFonts w:ascii="Arial" w:eastAsia="宋体" w:hAnsi="Arial" w:cs="Arial"/>
          <w:b/>
          <w:sz w:val="24"/>
          <w:lang w:val="en-GB"/>
        </w:rPr>
        <w:t>delay</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E31398">
        <w:rPr>
          <w:rFonts w:ascii="Arial" w:eastAsia="宋体" w:hAnsi="Arial" w:cs="Arial"/>
          <w:b/>
          <w:sz w:val="24"/>
          <w:lang w:val="en-GB"/>
        </w:rPr>
        <w:t>9.25.5</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5D6647"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5D6647">
        <w:rPr>
          <w:rFonts w:ascii="Times New Roman" w:hAnsi="Times New Roman" w:cs="Times New Roman"/>
          <w:sz w:val="20"/>
          <w:szCs w:val="20"/>
        </w:rPr>
        <w:t>98e</w:t>
      </w:r>
      <w:r>
        <w:rPr>
          <w:rFonts w:ascii="Times New Roman" w:hAnsi="Times New Roman" w:cs="Times New Roman"/>
          <w:sz w:val="20"/>
          <w:szCs w:val="20"/>
        </w:rPr>
        <w:t xml:space="preserve"> meeting, </w:t>
      </w:r>
      <w:r w:rsidR="005D6647">
        <w:rPr>
          <w:rFonts w:ascii="Times New Roman" w:hAnsi="Times New Roman" w:cs="Times New Roman"/>
          <w:sz w:val="20"/>
          <w:szCs w:val="20"/>
        </w:rPr>
        <w:t>the objective</w:t>
      </w:r>
      <w:r w:rsidR="0063287F">
        <w:rPr>
          <w:rFonts w:ascii="Times New Roman" w:hAnsi="Times New Roman" w:cs="Times New Roman"/>
          <w:sz w:val="20"/>
          <w:szCs w:val="20"/>
        </w:rPr>
        <w:t xml:space="preserve"> </w:t>
      </w:r>
      <w:r w:rsidR="001C2469">
        <w:rPr>
          <w:rFonts w:ascii="Times New Roman" w:hAnsi="Times New Roman" w:cs="Times New Roman" w:hint="eastAsia"/>
          <w:sz w:val="20"/>
          <w:szCs w:val="20"/>
        </w:rPr>
        <w:t>of</w:t>
      </w:r>
      <w:r w:rsidR="001C2469">
        <w:rPr>
          <w:rFonts w:ascii="Times New Roman" w:hAnsi="Times New Roman" w:cs="Times New Roman"/>
          <w:sz w:val="20"/>
          <w:szCs w:val="20"/>
        </w:rPr>
        <w:t xml:space="preserve"> </w:t>
      </w:r>
      <w:r w:rsidR="006D677D">
        <w:rPr>
          <w:rFonts w:ascii="Times New Roman" w:hAnsi="Times New Roman" w:cs="Times New Roman"/>
          <w:sz w:val="20"/>
          <w:szCs w:val="20"/>
        </w:rPr>
        <w:t xml:space="preserve">the </w:t>
      </w:r>
      <w:r w:rsidR="0063287F">
        <w:rPr>
          <w:rFonts w:ascii="Times New Roman" w:hAnsi="Times New Roman" w:cs="Times New Roman"/>
          <w:sz w:val="20"/>
          <w:szCs w:val="20"/>
        </w:rPr>
        <w:t>improvement in FR2 SCell/SCG setup delay</w:t>
      </w:r>
      <w:r w:rsidR="005D6647">
        <w:rPr>
          <w:rFonts w:ascii="Times New Roman" w:hAnsi="Times New Roman" w:cs="Times New Roman"/>
          <w:sz w:val="20"/>
          <w:szCs w:val="20"/>
        </w:rPr>
        <w:t xml:space="preserve"> was revised as follows in [1].</w:t>
      </w:r>
      <w:r w:rsidR="001C2469">
        <w:rPr>
          <w:rFonts w:ascii="Times New Roman" w:hAnsi="Times New Roman" w:cs="Times New Roman"/>
          <w:sz w:val="20"/>
          <w:szCs w:val="20"/>
        </w:rPr>
        <w:t xml:space="preserve"> </w:t>
      </w:r>
    </w:p>
    <w:tbl>
      <w:tblPr>
        <w:tblW w:w="839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9"/>
      </w:tblGrid>
      <w:tr w:rsidR="005D6647" w:rsidTr="005D6647">
        <w:trPr>
          <w:trHeight w:val="716"/>
        </w:trPr>
        <w:tc>
          <w:tcPr>
            <w:tcW w:w="8399" w:type="dxa"/>
          </w:tcPr>
          <w:p w:rsidR="005D6647" w:rsidRDefault="005D6647" w:rsidP="005D6647">
            <w:pPr>
              <w:pStyle w:val="a9"/>
              <w:spacing w:before="0" w:beforeAutospacing="0" w:after="0" w:afterAutospacing="0"/>
              <w:rPr>
                <w:rStyle w:val="af"/>
                <w:i w:val="0"/>
                <w:sz w:val="20"/>
                <w:szCs w:val="20"/>
              </w:rPr>
            </w:pPr>
            <w:r>
              <w:rPr>
                <w:rStyle w:val="af"/>
                <w:sz w:val="20"/>
                <w:szCs w:val="20"/>
              </w:rPr>
              <w:t xml:space="preserve">To study and specify </w:t>
            </w:r>
            <w:r w:rsidRPr="00974D4F">
              <w:rPr>
                <w:rStyle w:val="af"/>
                <w:sz w:val="20"/>
                <w:szCs w:val="20"/>
              </w:rPr>
              <w:t>how to reuse the IDLE/INACTIVE mode measurement results which are to be reported during and/or after RRC connection setup/resume in order to improve SCell/SCG setup delay [RAN4, RAN2], incl</w:t>
            </w:r>
            <w:r>
              <w:rPr>
                <w:rStyle w:val="af"/>
                <w:sz w:val="20"/>
                <w:szCs w:val="20"/>
              </w:rPr>
              <w:t>uding:</w:t>
            </w:r>
          </w:p>
          <w:p w:rsidR="005D6647" w:rsidRDefault="005D6647" w:rsidP="00A82E08">
            <w:pPr>
              <w:pStyle w:val="a9"/>
              <w:numPr>
                <w:ilvl w:val="1"/>
                <w:numId w:val="3"/>
              </w:numPr>
              <w:spacing w:before="0" w:beforeAutospacing="0" w:after="0" w:afterAutospacing="0"/>
              <w:ind w:left="601"/>
              <w:rPr>
                <w:rStyle w:val="af"/>
                <w:i w:val="0"/>
                <w:sz w:val="20"/>
                <w:szCs w:val="20"/>
              </w:rPr>
            </w:pPr>
            <w:r w:rsidRPr="00974D4F">
              <w:rPr>
                <w:rStyle w:val="af"/>
                <w:sz w:val="20"/>
                <w:szCs w:val="20"/>
              </w:rPr>
              <w:t>Availability and validation of the IDLE/INACTIVE mode measurement results to be reported [RAN4]; and</w:t>
            </w:r>
          </w:p>
          <w:p w:rsidR="005D6647" w:rsidRDefault="005D6647" w:rsidP="00A82E08">
            <w:pPr>
              <w:pStyle w:val="a9"/>
              <w:numPr>
                <w:ilvl w:val="1"/>
                <w:numId w:val="3"/>
              </w:numPr>
              <w:spacing w:before="0" w:beforeAutospacing="0" w:after="0" w:afterAutospacing="0"/>
              <w:ind w:left="601"/>
              <w:rPr>
                <w:rStyle w:val="af"/>
                <w:i w:val="0"/>
                <w:sz w:val="20"/>
                <w:szCs w:val="20"/>
              </w:rPr>
            </w:pPr>
            <w:r>
              <w:rPr>
                <w:rStyle w:val="af"/>
                <w:sz w:val="20"/>
                <w:szCs w:val="20"/>
              </w:rPr>
              <w:t>Definition of corresponding RRM requirements [RAN4]; and</w:t>
            </w:r>
          </w:p>
          <w:p w:rsidR="005D6647" w:rsidRPr="005D6647" w:rsidRDefault="005D6647" w:rsidP="00A82E08">
            <w:pPr>
              <w:pStyle w:val="a9"/>
              <w:numPr>
                <w:ilvl w:val="1"/>
                <w:numId w:val="3"/>
              </w:numPr>
              <w:spacing w:before="0" w:beforeAutospacing="0" w:after="0" w:afterAutospacing="0"/>
              <w:ind w:left="601"/>
              <w:rPr>
                <w:iCs/>
                <w:sz w:val="20"/>
                <w:szCs w:val="20"/>
              </w:rPr>
            </w:pPr>
            <w:r>
              <w:rPr>
                <w:rStyle w:val="af"/>
                <w:sz w:val="20"/>
                <w:szCs w:val="20"/>
              </w:rPr>
              <w:t>If necessary based on RAN4 outcome, definition of corresponding signalling support [RAN2].</w:t>
            </w:r>
          </w:p>
        </w:tc>
      </w:tr>
    </w:tbl>
    <w:p w:rsidR="000D163E" w:rsidRDefault="000D163E">
      <w:pPr>
        <w:rPr>
          <w:rFonts w:ascii="Times New Roman" w:hAnsi="Times New Roman" w:cs="Times New Roman"/>
          <w:sz w:val="20"/>
          <w:szCs w:val="20"/>
        </w:rPr>
      </w:pP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w:t>
      </w:r>
      <w:r w:rsidR="005D6647">
        <w:rPr>
          <w:rFonts w:ascii="Times New Roman" w:hAnsi="Times New Roman" w:cs="Times New Roman"/>
          <w:sz w:val="20"/>
          <w:szCs w:val="20"/>
        </w:rPr>
        <w:t>feasibility to use the idle/inactive mode measurement results to improve SCell/SCG setup delay.</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E46EA4" w:rsidRDefault="00591CDB" w:rsidP="009072EE">
      <w:pPr>
        <w:rPr>
          <w:rFonts w:ascii="Times New Roman" w:hAnsi="Times New Roman" w:cs="Times New Roman"/>
          <w:sz w:val="20"/>
          <w:szCs w:val="20"/>
        </w:rPr>
      </w:pPr>
      <w:r w:rsidRPr="00591CDB">
        <w:rPr>
          <w:rFonts w:ascii="Times New Roman" w:hAnsi="Times New Roman" w:cs="Times New Roman"/>
          <w:sz w:val="20"/>
          <w:szCs w:val="20"/>
        </w:rPr>
        <w:t xml:space="preserve">In </w:t>
      </w:r>
      <w:r>
        <w:rPr>
          <w:rFonts w:ascii="Times New Roman" w:hAnsi="Times New Roman" w:cs="Times New Roman"/>
          <w:sz w:val="20"/>
          <w:szCs w:val="20"/>
        </w:rPr>
        <w:t>previous RAN4 meetings, RAN4 has studied the feasibility of the improvement in FR2 SCell/SCG setup delay. And the conclusion was captured in [2]</w:t>
      </w:r>
      <w:r w:rsidR="00E46EA4">
        <w:rPr>
          <w:rFonts w:ascii="Times New Roman" w:hAnsi="Times New Roman" w:cs="Times New Roman"/>
          <w:sz w:val="20"/>
          <w:szCs w:val="20"/>
        </w:rPr>
        <w:t xml:space="preserve"> which is copied as follows</w:t>
      </w:r>
      <w:r>
        <w:rPr>
          <w:rFonts w:ascii="Times New Roman" w:hAnsi="Times New Roman" w:cs="Times New Roman"/>
          <w:sz w:val="20"/>
          <w:szCs w:val="20"/>
        </w:rPr>
        <w:t xml:space="preserve">. </w:t>
      </w:r>
    </w:p>
    <w:tbl>
      <w:tblPr>
        <w:tblW w:w="839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0"/>
      </w:tblGrid>
      <w:tr w:rsidR="00E46EA4" w:rsidTr="00E46EA4">
        <w:trPr>
          <w:trHeight w:val="641"/>
        </w:trPr>
        <w:tc>
          <w:tcPr>
            <w:tcW w:w="8390" w:type="dxa"/>
          </w:tcPr>
          <w:p w:rsidR="00E46EA4" w:rsidRPr="00E46EA4" w:rsidRDefault="00E46EA4" w:rsidP="00A82E08">
            <w:pPr>
              <w:widowControl/>
              <w:numPr>
                <w:ilvl w:val="0"/>
                <w:numId w:val="4"/>
              </w:numPr>
              <w:jc w:val="left"/>
              <w:rPr>
                <w:rFonts w:ascii="Times New Roman" w:hAnsi="Times New Roman" w:cs="Times New Roman"/>
                <w:b/>
                <w:color w:val="000000"/>
                <w:lang w:eastAsia="ko-KR"/>
              </w:rPr>
            </w:pPr>
            <w:r w:rsidRPr="00E46EA4">
              <w:rPr>
                <w:rFonts w:ascii="Times New Roman" w:hAnsi="Times New Roman" w:cs="Times New Roman"/>
                <w:b/>
                <w:color w:val="000000"/>
                <w:lang w:eastAsia="ko-KR"/>
              </w:rPr>
              <w:t>&lt;Agreement&gt;:</w:t>
            </w:r>
          </w:p>
          <w:p w:rsidR="00E46EA4" w:rsidRPr="00E46EA4" w:rsidRDefault="00E46EA4" w:rsidP="00A82E08">
            <w:pPr>
              <w:widowControl/>
              <w:numPr>
                <w:ilvl w:val="1"/>
                <w:numId w:val="4"/>
              </w:numPr>
              <w:jc w:val="left"/>
              <w:rPr>
                <w:rFonts w:ascii="Times New Roman" w:hAnsi="Times New Roman" w:cs="Times New Roman"/>
                <w:b/>
                <w:color w:val="000000"/>
                <w:lang w:eastAsia="ko-KR"/>
              </w:rPr>
            </w:pPr>
            <w:r w:rsidRPr="00E46EA4">
              <w:rPr>
                <w:rFonts w:ascii="Times New Roman" w:hAnsi="Times New Roman" w:cs="Times New Roman"/>
                <w:iCs/>
                <w:color w:val="000000"/>
                <w:szCs w:val="24"/>
                <w:lang w:val="sv-SE"/>
              </w:rPr>
              <w:t>Enhancements on UE behavior in IDLE/INACTIVE mode are not in the scope</w:t>
            </w:r>
          </w:p>
          <w:p w:rsidR="00E46EA4" w:rsidRPr="00E46EA4" w:rsidRDefault="00E46EA4" w:rsidP="00A82E08">
            <w:pPr>
              <w:widowControl/>
              <w:numPr>
                <w:ilvl w:val="1"/>
                <w:numId w:val="4"/>
              </w:numPr>
              <w:jc w:val="left"/>
              <w:rPr>
                <w:rFonts w:ascii="Times New Roman" w:hAnsi="Times New Roman" w:cs="Times New Roman"/>
                <w:b/>
                <w:color w:val="000000"/>
                <w:lang w:eastAsia="ko-KR"/>
              </w:rPr>
            </w:pPr>
            <w:r w:rsidRPr="00E46EA4">
              <w:rPr>
                <w:rFonts w:ascii="Times New Roman" w:hAnsi="Times New Roman" w:cs="Times New Roman"/>
                <w:iCs/>
                <w:color w:val="000000"/>
                <w:szCs w:val="24"/>
                <w:lang w:val="sv-SE"/>
              </w:rPr>
              <w:t>The following aspects can be further studied</w:t>
            </w:r>
          </w:p>
          <w:p w:rsidR="00E46EA4" w:rsidRPr="00E46EA4" w:rsidRDefault="00E46EA4" w:rsidP="00A82E08">
            <w:pPr>
              <w:widowControl/>
              <w:numPr>
                <w:ilvl w:val="2"/>
                <w:numId w:val="4"/>
              </w:numPr>
              <w:jc w:val="left"/>
              <w:rPr>
                <w:rFonts w:ascii="Times New Roman" w:hAnsi="Times New Roman" w:cs="Times New Roman"/>
                <w:b/>
                <w:color w:val="000000"/>
                <w:lang w:eastAsia="ko-KR"/>
              </w:rPr>
            </w:pPr>
            <w:r w:rsidRPr="00E46EA4">
              <w:rPr>
                <w:rFonts w:ascii="Times New Roman" w:hAnsi="Times New Roman" w:cs="Times New Roman"/>
                <w:iCs/>
                <w:color w:val="000000"/>
                <w:szCs w:val="24"/>
                <w:lang w:val="sv-SE"/>
              </w:rPr>
              <w:t>Using measurement results obtained during IDLE/INACTIVE mode for measurements during RRC connection procedure</w:t>
            </w:r>
          </w:p>
          <w:p w:rsidR="00E46EA4" w:rsidRPr="00E46EA4" w:rsidRDefault="00E46EA4" w:rsidP="00A82E08">
            <w:pPr>
              <w:widowControl/>
              <w:numPr>
                <w:ilvl w:val="3"/>
                <w:numId w:val="4"/>
              </w:numPr>
              <w:jc w:val="left"/>
              <w:rPr>
                <w:b/>
                <w:color w:val="000000"/>
                <w:lang w:eastAsia="ko-KR"/>
              </w:rPr>
            </w:pPr>
            <w:r w:rsidRPr="00E46EA4">
              <w:rPr>
                <w:rFonts w:ascii="Times New Roman" w:hAnsi="Times New Roman" w:cs="Times New Roman"/>
                <w:iCs/>
                <w:color w:val="000000"/>
                <w:szCs w:val="24"/>
                <w:lang w:val="sv-SE"/>
              </w:rPr>
              <w:t>Note: enhancements on IDLE/INACTIVE mode measurement are not in the scope</w:t>
            </w:r>
          </w:p>
        </w:tc>
      </w:tr>
    </w:tbl>
    <w:p w:rsidR="00591CDB" w:rsidRDefault="00591CDB" w:rsidP="009072EE">
      <w:pPr>
        <w:rPr>
          <w:rFonts w:ascii="Times New Roman" w:hAnsi="Times New Roman" w:cs="Times New Roman"/>
          <w:sz w:val="20"/>
          <w:szCs w:val="20"/>
        </w:rPr>
      </w:pPr>
      <w:r>
        <w:rPr>
          <w:rFonts w:ascii="Times New Roman" w:hAnsi="Times New Roman" w:cs="Times New Roman"/>
          <w:sz w:val="20"/>
          <w:szCs w:val="20"/>
        </w:rPr>
        <w:t>RAN4 is required to further study to use the measurement results obtained during IDLE/INACTIVE mode for measurement during RRC connection procedure.</w:t>
      </w:r>
      <w:r w:rsidR="0063563A">
        <w:rPr>
          <w:rFonts w:ascii="Times New Roman" w:hAnsi="Times New Roman" w:cs="Times New Roman" w:hint="eastAsia"/>
          <w:sz w:val="20"/>
          <w:szCs w:val="20"/>
        </w:rPr>
        <w:t xml:space="preserve"> </w:t>
      </w:r>
      <w:r w:rsidR="00EF1CD2">
        <w:rPr>
          <w:rFonts w:ascii="Times New Roman" w:hAnsi="Times New Roman" w:cs="Times New Roman" w:hint="eastAsia"/>
          <w:sz w:val="20"/>
          <w:szCs w:val="20"/>
        </w:rPr>
        <w:t>W</w:t>
      </w:r>
      <w:r w:rsidR="00EF1CD2">
        <w:rPr>
          <w:rFonts w:ascii="Times New Roman" w:hAnsi="Times New Roman" w:cs="Times New Roman"/>
          <w:sz w:val="20"/>
          <w:szCs w:val="20"/>
        </w:rPr>
        <w:t xml:space="preserve">hen the UE is required to setup/resume RRC connection from RRC_idle/RRC_inactive mode, </w:t>
      </w:r>
      <w:r w:rsidR="00B55A41">
        <w:rPr>
          <w:rFonts w:ascii="Times New Roman" w:hAnsi="Times New Roman" w:cs="Times New Roman"/>
          <w:sz w:val="20"/>
          <w:szCs w:val="20"/>
        </w:rPr>
        <w:t xml:space="preserve">if the EMR timer T331 has expired, </w:t>
      </w:r>
      <w:r w:rsidR="00EF1CD2">
        <w:rPr>
          <w:rFonts w:ascii="Times New Roman" w:hAnsi="Times New Roman" w:cs="Times New Roman"/>
          <w:sz w:val="20"/>
          <w:szCs w:val="20"/>
        </w:rPr>
        <w:t>the EMR measurement results may be invalid</w:t>
      </w:r>
      <w:r w:rsidR="00BA4ED6">
        <w:rPr>
          <w:rFonts w:ascii="Times New Roman" w:hAnsi="Times New Roman" w:cs="Times New Roman"/>
          <w:sz w:val="20"/>
          <w:szCs w:val="20"/>
        </w:rPr>
        <w:t xml:space="preserve">. </w:t>
      </w:r>
      <w:r w:rsidR="00B55A41">
        <w:rPr>
          <w:rFonts w:ascii="Times New Roman" w:hAnsi="Times New Roman" w:cs="Times New Roman"/>
          <w:sz w:val="20"/>
          <w:szCs w:val="20"/>
        </w:rPr>
        <w:t xml:space="preserve">If the UE reports the invalid EMR results, the SCell/SCG setup would be failure. Thus, it is necessary to check whether the EMR results are valid or not before the reporting. As the UE needs to report the EMR measurement result in RRC setup/resume Complete message (Msg5), the </w:t>
      </w:r>
      <w:r w:rsidR="00550CD7">
        <w:rPr>
          <w:rFonts w:ascii="Times New Roman" w:hAnsi="Times New Roman" w:cs="Times New Roman"/>
          <w:sz w:val="20"/>
          <w:szCs w:val="20"/>
        </w:rPr>
        <w:t>check point for the validation of</w:t>
      </w:r>
      <w:r w:rsidR="00B55A41">
        <w:rPr>
          <w:rFonts w:ascii="Times New Roman" w:hAnsi="Times New Roman" w:cs="Times New Roman"/>
          <w:sz w:val="20"/>
          <w:szCs w:val="20"/>
        </w:rPr>
        <w:t xml:space="preserve"> </w:t>
      </w:r>
      <w:r w:rsidR="00550CD7">
        <w:rPr>
          <w:rFonts w:ascii="Times New Roman" w:hAnsi="Times New Roman" w:cs="Times New Roman"/>
          <w:sz w:val="20"/>
          <w:szCs w:val="20"/>
        </w:rPr>
        <w:t>EMR result</w:t>
      </w:r>
      <w:r w:rsidR="00B55A41">
        <w:rPr>
          <w:rFonts w:ascii="Times New Roman" w:hAnsi="Times New Roman" w:cs="Times New Roman"/>
          <w:sz w:val="20"/>
          <w:szCs w:val="20"/>
        </w:rPr>
        <w:t xml:space="preserve"> should be completed before Msg 5, in addition, UE may need the time to prepare the measurement result in Msg 5, thus, the </w:t>
      </w:r>
      <w:r w:rsidR="00550CD7">
        <w:rPr>
          <w:rFonts w:ascii="Times New Roman" w:hAnsi="Times New Roman" w:cs="Times New Roman"/>
          <w:sz w:val="20"/>
          <w:szCs w:val="20"/>
        </w:rPr>
        <w:t>check point should be before</w:t>
      </w:r>
      <w:r w:rsidR="00B55A41">
        <w:rPr>
          <w:rFonts w:ascii="Times New Roman" w:hAnsi="Times New Roman" w:cs="Times New Roman"/>
          <w:sz w:val="20"/>
          <w:szCs w:val="20"/>
        </w:rPr>
        <w:t xml:space="preserve"> Msg 4.</w:t>
      </w:r>
    </w:p>
    <w:p w:rsidR="00550CD7" w:rsidRPr="00842B0F" w:rsidRDefault="00550CD7" w:rsidP="00550CD7">
      <w:pPr>
        <w:spacing w:after="240"/>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1</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sidRPr="00550CD7">
        <w:rPr>
          <w:rFonts w:ascii="Times New Roman" w:hAnsi="Times New Roman" w:cs="Times New Roman"/>
          <w:b/>
          <w:sz w:val="20"/>
          <w:szCs w:val="20"/>
          <w:lang w:val="en-GB"/>
        </w:rPr>
        <w:t xml:space="preserve">When the UE is required to setup/resume RRC connection, if the EMR timer T331 has </w:t>
      </w:r>
      <w:r w:rsidRPr="00550CD7">
        <w:rPr>
          <w:rFonts w:ascii="Times New Roman" w:hAnsi="Times New Roman" w:cs="Times New Roman"/>
          <w:b/>
          <w:sz w:val="20"/>
          <w:szCs w:val="20"/>
          <w:lang w:val="en-GB"/>
        </w:rPr>
        <w:lastRenderedPageBreak/>
        <w:t>expired,</w:t>
      </w:r>
      <w:r>
        <w:rPr>
          <w:rFonts w:ascii="Times New Roman" w:hAnsi="Times New Roman" w:cs="Times New Roman"/>
          <w:b/>
          <w:sz w:val="20"/>
          <w:szCs w:val="20"/>
          <w:lang w:val="en-GB"/>
        </w:rPr>
        <w:t xml:space="preserve"> </w:t>
      </w:r>
      <w:r w:rsidR="003A555B">
        <w:rPr>
          <w:rFonts w:ascii="Times New Roman" w:hAnsi="Times New Roman" w:cs="Times New Roman"/>
          <w:b/>
          <w:sz w:val="20"/>
          <w:szCs w:val="20"/>
          <w:lang w:val="en-GB"/>
        </w:rPr>
        <w:t xml:space="preserve">UE needs to check </w:t>
      </w:r>
      <w:r w:rsidR="003A555B" w:rsidRPr="003A555B">
        <w:rPr>
          <w:rFonts w:ascii="Times New Roman" w:hAnsi="Times New Roman" w:cs="Times New Roman"/>
          <w:b/>
          <w:sz w:val="20"/>
          <w:szCs w:val="20"/>
          <w:lang w:val="en-GB"/>
        </w:rPr>
        <w:t>whether the EMR results are valid or not before</w:t>
      </w:r>
      <w:r w:rsidR="003A555B">
        <w:rPr>
          <w:rFonts w:ascii="Times New Roman" w:hAnsi="Times New Roman" w:cs="Times New Roman"/>
          <w:b/>
          <w:sz w:val="20"/>
          <w:szCs w:val="20"/>
          <w:lang w:val="en-GB"/>
        </w:rPr>
        <w:t xml:space="preserve"> </w:t>
      </w:r>
      <w:r w:rsidR="003A555B" w:rsidRPr="003A555B">
        <w:rPr>
          <w:rFonts w:ascii="Times New Roman" w:hAnsi="Times New Roman" w:cs="Times New Roman"/>
          <w:b/>
          <w:sz w:val="20"/>
          <w:szCs w:val="20"/>
          <w:lang w:val="en-GB"/>
        </w:rPr>
        <w:t>Msg 4</w:t>
      </w:r>
      <w:r>
        <w:rPr>
          <w:rFonts w:ascii="Times New Roman" w:hAnsi="Times New Roman" w:cs="Times New Roman"/>
          <w:b/>
          <w:sz w:val="20"/>
          <w:szCs w:val="20"/>
          <w:lang w:val="en-GB"/>
        </w:rPr>
        <w:t>.</w:t>
      </w:r>
    </w:p>
    <w:p w:rsidR="00591CDB" w:rsidRDefault="003A555B" w:rsidP="009072EE">
      <w:pPr>
        <w:rPr>
          <w:rFonts w:ascii="Times New Roman" w:hAnsi="Times New Roman" w:cs="Times New Roman"/>
          <w:sz w:val="20"/>
          <w:szCs w:val="20"/>
          <w:lang w:val="en-GB"/>
        </w:rPr>
      </w:pPr>
      <w:r>
        <w:rPr>
          <w:rFonts w:ascii="Times New Roman" w:hAnsi="Times New Roman" w:cs="Times New Roman" w:hint="eastAsia"/>
          <w:sz w:val="20"/>
          <w:szCs w:val="20"/>
          <w:lang w:val="en-GB"/>
        </w:rPr>
        <w:t>R</w:t>
      </w:r>
      <w:r>
        <w:rPr>
          <w:rFonts w:ascii="Times New Roman" w:hAnsi="Times New Roman" w:cs="Times New Roman"/>
          <w:sz w:val="20"/>
          <w:szCs w:val="20"/>
          <w:lang w:val="en-GB"/>
        </w:rPr>
        <w:t>egarding the definition of ‘valid’</w:t>
      </w:r>
      <w:r w:rsidR="00213976">
        <w:rPr>
          <w:rFonts w:ascii="Times New Roman" w:hAnsi="Times New Roman" w:cs="Times New Roman"/>
          <w:sz w:val="20"/>
          <w:szCs w:val="20"/>
          <w:lang w:val="en-GB"/>
        </w:rPr>
        <w:t xml:space="preserve"> EMR results, if the time span </w:t>
      </w:r>
      <w:r w:rsidR="00E46EA4">
        <w:rPr>
          <w:rFonts w:ascii="Times New Roman" w:hAnsi="Times New Roman" w:cs="Times New Roman"/>
          <w:sz w:val="20"/>
          <w:szCs w:val="20"/>
          <w:lang w:val="en-GB"/>
        </w:rPr>
        <w:t>from</w:t>
      </w:r>
      <w:r w:rsidR="00213976">
        <w:rPr>
          <w:rFonts w:ascii="Times New Roman" w:hAnsi="Times New Roman" w:cs="Times New Roman"/>
          <w:sz w:val="20"/>
          <w:szCs w:val="20"/>
          <w:lang w:val="en-GB"/>
        </w:rPr>
        <w:t xml:space="preserve"> </w:t>
      </w:r>
      <w:r w:rsidR="00E46EA4">
        <w:rPr>
          <w:rFonts w:ascii="Times New Roman" w:hAnsi="Times New Roman" w:cs="Times New Roman"/>
          <w:sz w:val="20"/>
          <w:szCs w:val="20"/>
          <w:lang w:val="en-GB"/>
        </w:rPr>
        <w:t>when the</w:t>
      </w:r>
      <w:r w:rsidR="00213976">
        <w:rPr>
          <w:rFonts w:ascii="Times New Roman" w:hAnsi="Times New Roman" w:cs="Times New Roman"/>
          <w:sz w:val="20"/>
          <w:szCs w:val="20"/>
          <w:lang w:val="en-GB"/>
        </w:rPr>
        <w:t xml:space="preserve"> EMR timer expire</w:t>
      </w:r>
      <w:r w:rsidR="00E46EA4">
        <w:rPr>
          <w:rFonts w:ascii="Times New Roman" w:hAnsi="Times New Roman" w:cs="Times New Roman"/>
          <w:sz w:val="20"/>
          <w:szCs w:val="20"/>
          <w:lang w:val="en-GB"/>
        </w:rPr>
        <w:t>s</w:t>
      </w:r>
      <w:r w:rsidR="00213976">
        <w:rPr>
          <w:rFonts w:ascii="Times New Roman" w:hAnsi="Times New Roman" w:cs="Times New Roman"/>
          <w:sz w:val="20"/>
          <w:szCs w:val="20"/>
          <w:lang w:val="en-GB"/>
        </w:rPr>
        <w:t xml:space="preserve"> </w:t>
      </w:r>
      <w:r w:rsidR="00E46EA4">
        <w:rPr>
          <w:rFonts w:ascii="Times New Roman" w:hAnsi="Times New Roman" w:cs="Times New Roman"/>
          <w:sz w:val="20"/>
          <w:szCs w:val="20"/>
          <w:lang w:val="en-GB"/>
        </w:rPr>
        <w:t>to</w:t>
      </w:r>
      <w:r w:rsidR="00213976">
        <w:rPr>
          <w:rFonts w:ascii="Times New Roman" w:hAnsi="Times New Roman" w:cs="Times New Roman"/>
          <w:sz w:val="20"/>
          <w:szCs w:val="20"/>
          <w:lang w:val="en-GB"/>
        </w:rPr>
        <w:t xml:space="preserve"> the time of Msg4 is less than [5]s, the EMR results are considered as valid.</w:t>
      </w:r>
    </w:p>
    <w:p w:rsidR="00213976" w:rsidRPr="00E46EA4" w:rsidRDefault="00213976" w:rsidP="00E46EA4">
      <w:pPr>
        <w:spacing w:after="240"/>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2</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T</w:t>
      </w:r>
      <w:r w:rsidRPr="00213976">
        <w:rPr>
          <w:rFonts w:ascii="Times New Roman" w:hAnsi="Times New Roman" w:cs="Times New Roman"/>
          <w:b/>
          <w:sz w:val="20"/>
          <w:szCs w:val="20"/>
          <w:lang w:val="en-GB"/>
        </w:rPr>
        <w:t xml:space="preserve">he EMR results are considered as valid </w:t>
      </w:r>
      <w:r w:rsidR="00E46EA4" w:rsidRPr="00E46EA4">
        <w:rPr>
          <w:rFonts w:ascii="Times New Roman" w:hAnsi="Times New Roman" w:cs="Times New Roman"/>
          <w:b/>
          <w:sz w:val="20"/>
          <w:szCs w:val="20"/>
          <w:lang w:val="en-GB"/>
        </w:rPr>
        <w:t>if the time span from when the EMR timer expires to the time of Msg4 is less than [5]s</w:t>
      </w:r>
      <w:r>
        <w:rPr>
          <w:rFonts w:ascii="Times New Roman" w:hAnsi="Times New Roman" w:cs="Times New Roman"/>
          <w:b/>
          <w:sz w:val="20"/>
          <w:szCs w:val="20"/>
          <w:lang w:val="en-GB"/>
        </w:rPr>
        <w:t>.</w:t>
      </w:r>
    </w:p>
    <w:p w:rsidR="00817100" w:rsidRDefault="0063563A" w:rsidP="009072EE">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f the EMR results are invalid, RAN4 needs to study whether and how to report the </w:t>
      </w:r>
      <w:r w:rsidR="00914F7F">
        <w:rPr>
          <w:rFonts w:ascii="Times New Roman" w:hAnsi="Times New Roman" w:cs="Times New Roman"/>
          <w:sz w:val="20"/>
          <w:szCs w:val="20"/>
        </w:rPr>
        <w:t>invalid EMR results. One of</w:t>
      </w:r>
      <w:r w:rsidR="00817100">
        <w:rPr>
          <w:rFonts w:ascii="Times New Roman" w:hAnsi="Times New Roman" w:cs="Times New Roman"/>
          <w:sz w:val="20"/>
          <w:szCs w:val="20"/>
        </w:rPr>
        <w:t xml:space="preserve"> the alternative is that the UE does not report the EMR results to NW. Another alternative is that UE can report the invalid indication to NW.</w:t>
      </w:r>
    </w:p>
    <w:p w:rsidR="00817100" w:rsidRDefault="00817100" w:rsidP="00817100">
      <w:pPr>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3</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sidRPr="00817100">
        <w:rPr>
          <w:rFonts w:ascii="Times New Roman" w:hAnsi="Times New Roman" w:cs="Times New Roman"/>
          <w:b/>
          <w:sz w:val="20"/>
          <w:szCs w:val="20"/>
          <w:lang w:val="en-GB"/>
        </w:rPr>
        <w:t>If the EMR results are invalid, RAN4 to study whether and how to</w:t>
      </w:r>
      <w:r>
        <w:rPr>
          <w:rFonts w:ascii="Times New Roman" w:hAnsi="Times New Roman" w:cs="Times New Roman"/>
          <w:b/>
          <w:sz w:val="20"/>
          <w:szCs w:val="20"/>
          <w:lang w:val="en-GB"/>
        </w:rPr>
        <w:t xml:space="preserve"> report the invalid EMR results. The following alternatives are considered for further study:</w:t>
      </w:r>
    </w:p>
    <w:p w:rsidR="00817100" w:rsidRDefault="00817100" w:rsidP="00A82E08">
      <w:pPr>
        <w:pStyle w:val="a7"/>
        <w:numPr>
          <w:ilvl w:val="0"/>
          <w:numId w:val="5"/>
        </w:numPr>
        <w:spacing w:after="240"/>
        <w:ind w:left="709"/>
        <w:rPr>
          <w:b/>
          <w:sz w:val="20"/>
          <w:szCs w:val="20"/>
          <w:lang w:val="en-GB"/>
        </w:rPr>
      </w:pPr>
      <w:r w:rsidRPr="00817100">
        <w:rPr>
          <w:b/>
          <w:sz w:val="20"/>
          <w:szCs w:val="20"/>
          <w:lang w:val="en-GB"/>
        </w:rPr>
        <w:t>Alternative 1: The UE does not report the EMR results to NW;</w:t>
      </w:r>
    </w:p>
    <w:p w:rsidR="00E47C16" w:rsidRPr="00817100" w:rsidRDefault="00817100" w:rsidP="00A82E08">
      <w:pPr>
        <w:pStyle w:val="a7"/>
        <w:numPr>
          <w:ilvl w:val="0"/>
          <w:numId w:val="5"/>
        </w:numPr>
        <w:spacing w:after="240"/>
        <w:ind w:left="709"/>
        <w:rPr>
          <w:b/>
          <w:sz w:val="20"/>
          <w:szCs w:val="20"/>
          <w:lang w:val="en-GB"/>
        </w:rPr>
      </w:pPr>
      <w:r>
        <w:rPr>
          <w:b/>
          <w:sz w:val="20"/>
          <w:szCs w:val="20"/>
          <w:lang w:val="en-GB"/>
        </w:rPr>
        <w:t>Alternative 2</w:t>
      </w:r>
      <w:r w:rsidRPr="00817100">
        <w:rPr>
          <w:b/>
          <w:sz w:val="20"/>
          <w:szCs w:val="20"/>
          <w:lang w:val="en-GB"/>
        </w:rPr>
        <w:t>: The UE report</w:t>
      </w:r>
      <w:r>
        <w:rPr>
          <w:b/>
          <w:sz w:val="20"/>
          <w:szCs w:val="20"/>
          <w:lang w:val="en-GB"/>
        </w:rPr>
        <w:t>s</w:t>
      </w:r>
      <w:r w:rsidRPr="00817100">
        <w:rPr>
          <w:b/>
          <w:sz w:val="20"/>
          <w:szCs w:val="20"/>
          <w:lang w:val="en-GB"/>
        </w:rPr>
        <w:t xml:space="preserve"> </w:t>
      </w:r>
      <w:r>
        <w:rPr>
          <w:b/>
          <w:sz w:val="20"/>
          <w:szCs w:val="20"/>
          <w:lang w:val="en-GB"/>
        </w:rPr>
        <w:t>invalid indication</w:t>
      </w:r>
      <w:r w:rsidRPr="00817100">
        <w:rPr>
          <w:b/>
          <w:sz w:val="20"/>
          <w:szCs w:val="20"/>
          <w:lang w:val="en-GB"/>
        </w:rPr>
        <w:t xml:space="preserve"> to NW;</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1076E">
        <w:rPr>
          <w:rFonts w:ascii="Times New Roman" w:hAnsi="Times New Roman" w:cs="Times New Roman"/>
          <w:sz w:val="20"/>
          <w:szCs w:val="20"/>
        </w:rPr>
        <w:t xml:space="preserve">potential </w:t>
      </w:r>
      <w:r w:rsidR="00C436FD" w:rsidRPr="00C436FD">
        <w:rPr>
          <w:rFonts w:ascii="Times New Roman" w:hAnsi="Times New Roman" w:cs="Times New Roman"/>
          <w:sz w:val="20"/>
          <w:szCs w:val="20"/>
        </w:rPr>
        <w:t xml:space="preserve">feasibility on </w:t>
      </w:r>
      <w:r w:rsidR="00F7430B">
        <w:rPr>
          <w:rFonts w:ascii="Times New Roman" w:hAnsi="Times New Roman" w:cs="Times New Roman"/>
          <w:sz w:val="20"/>
          <w:szCs w:val="20"/>
        </w:rPr>
        <w:t>using the idle/inactive mode measurement results to improve SCell/SCG setup delay</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335F55" w:rsidRPr="00842B0F" w:rsidRDefault="005221D0" w:rsidP="00335F55">
      <w:pPr>
        <w:spacing w:after="240"/>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1</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sidRPr="00550CD7">
        <w:rPr>
          <w:rFonts w:ascii="Times New Roman" w:hAnsi="Times New Roman" w:cs="Times New Roman"/>
          <w:b/>
          <w:sz w:val="20"/>
          <w:szCs w:val="20"/>
          <w:lang w:val="en-GB"/>
        </w:rPr>
        <w:t>When the UE is required to setup/resume RRC connection, if the EMR timer T331 has expired,</w:t>
      </w:r>
      <w:r>
        <w:rPr>
          <w:rFonts w:ascii="Times New Roman" w:hAnsi="Times New Roman" w:cs="Times New Roman"/>
          <w:b/>
          <w:sz w:val="20"/>
          <w:szCs w:val="20"/>
          <w:lang w:val="en-GB"/>
        </w:rPr>
        <w:t xml:space="preserve"> UE needs to check </w:t>
      </w:r>
      <w:r w:rsidRPr="003A555B">
        <w:rPr>
          <w:rFonts w:ascii="Times New Roman" w:hAnsi="Times New Roman" w:cs="Times New Roman"/>
          <w:b/>
          <w:sz w:val="20"/>
          <w:szCs w:val="20"/>
          <w:lang w:val="en-GB"/>
        </w:rPr>
        <w:t>whether the EMR results are valid or not before</w:t>
      </w:r>
      <w:r>
        <w:rPr>
          <w:rFonts w:ascii="Times New Roman" w:hAnsi="Times New Roman" w:cs="Times New Roman"/>
          <w:b/>
          <w:sz w:val="20"/>
          <w:szCs w:val="20"/>
          <w:lang w:val="en-GB"/>
        </w:rPr>
        <w:t xml:space="preserve"> </w:t>
      </w:r>
      <w:r w:rsidRPr="003A555B">
        <w:rPr>
          <w:rFonts w:ascii="Times New Roman" w:hAnsi="Times New Roman" w:cs="Times New Roman"/>
          <w:b/>
          <w:sz w:val="20"/>
          <w:szCs w:val="20"/>
          <w:lang w:val="en-GB"/>
        </w:rPr>
        <w:t>Msg 4</w:t>
      </w:r>
      <w:r>
        <w:rPr>
          <w:rFonts w:ascii="Times New Roman" w:hAnsi="Times New Roman" w:cs="Times New Roman"/>
          <w:b/>
          <w:sz w:val="20"/>
          <w:szCs w:val="20"/>
          <w:lang w:val="en-GB"/>
        </w:rPr>
        <w:t>.</w:t>
      </w:r>
    </w:p>
    <w:p w:rsidR="005221D0" w:rsidRDefault="005221D0" w:rsidP="00335F55">
      <w:pPr>
        <w:spacing w:after="240"/>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2</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T</w:t>
      </w:r>
      <w:r w:rsidRPr="00213976">
        <w:rPr>
          <w:rFonts w:ascii="Times New Roman" w:hAnsi="Times New Roman" w:cs="Times New Roman"/>
          <w:b/>
          <w:sz w:val="20"/>
          <w:szCs w:val="20"/>
          <w:lang w:val="en-GB"/>
        </w:rPr>
        <w:t xml:space="preserve">he EMR results are considered as valid </w:t>
      </w:r>
      <w:r w:rsidRPr="00E46EA4">
        <w:rPr>
          <w:rFonts w:ascii="Times New Roman" w:hAnsi="Times New Roman" w:cs="Times New Roman"/>
          <w:b/>
          <w:sz w:val="20"/>
          <w:szCs w:val="20"/>
          <w:lang w:val="en-GB"/>
        </w:rPr>
        <w:t>if the time span from when the EMR timer expires to the time of Msg4 is less than [5]s</w:t>
      </w:r>
      <w:r>
        <w:rPr>
          <w:rFonts w:ascii="Times New Roman" w:hAnsi="Times New Roman" w:cs="Times New Roman"/>
          <w:b/>
          <w:sz w:val="20"/>
          <w:szCs w:val="20"/>
          <w:lang w:val="en-GB"/>
        </w:rPr>
        <w:t>.</w:t>
      </w:r>
    </w:p>
    <w:p w:rsidR="005221D0" w:rsidRDefault="005221D0" w:rsidP="005221D0">
      <w:pPr>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3</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r w:rsidRPr="00817100">
        <w:rPr>
          <w:rFonts w:ascii="Times New Roman" w:hAnsi="Times New Roman" w:cs="Times New Roman"/>
          <w:b/>
          <w:sz w:val="20"/>
          <w:szCs w:val="20"/>
          <w:lang w:val="en-GB"/>
        </w:rPr>
        <w:t>If the EMR results are invalid, RAN4 to study whether and how to</w:t>
      </w:r>
      <w:r>
        <w:rPr>
          <w:rFonts w:ascii="Times New Roman" w:hAnsi="Times New Roman" w:cs="Times New Roman"/>
          <w:b/>
          <w:sz w:val="20"/>
          <w:szCs w:val="20"/>
          <w:lang w:val="en-GB"/>
        </w:rPr>
        <w:t xml:space="preserve"> report the invalid EMR results. The following alternatives are considered for further study:</w:t>
      </w:r>
    </w:p>
    <w:p w:rsidR="005221D0" w:rsidRDefault="005221D0" w:rsidP="00A82E08">
      <w:pPr>
        <w:pStyle w:val="a7"/>
        <w:numPr>
          <w:ilvl w:val="0"/>
          <w:numId w:val="5"/>
        </w:numPr>
        <w:spacing w:after="240"/>
        <w:ind w:left="709"/>
        <w:rPr>
          <w:b/>
          <w:sz w:val="20"/>
          <w:szCs w:val="20"/>
          <w:lang w:val="en-GB"/>
        </w:rPr>
      </w:pPr>
      <w:r w:rsidRPr="00817100">
        <w:rPr>
          <w:b/>
          <w:sz w:val="20"/>
          <w:szCs w:val="20"/>
          <w:lang w:val="en-GB"/>
        </w:rPr>
        <w:t>Alternative 1: The UE does not report the EMR results to NW;</w:t>
      </w:r>
    </w:p>
    <w:p w:rsidR="005221D0" w:rsidRPr="00817100" w:rsidRDefault="005221D0" w:rsidP="00A82E08">
      <w:pPr>
        <w:pStyle w:val="a7"/>
        <w:numPr>
          <w:ilvl w:val="0"/>
          <w:numId w:val="5"/>
        </w:numPr>
        <w:spacing w:after="240"/>
        <w:ind w:left="709"/>
        <w:rPr>
          <w:b/>
          <w:sz w:val="20"/>
          <w:szCs w:val="20"/>
          <w:lang w:val="en-GB"/>
        </w:rPr>
      </w:pPr>
      <w:r>
        <w:rPr>
          <w:b/>
          <w:sz w:val="20"/>
          <w:szCs w:val="20"/>
          <w:lang w:val="en-GB"/>
        </w:rPr>
        <w:t>Alternative 2</w:t>
      </w:r>
      <w:r w:rsidRPr="00817100">
        <w:rPr>
          <w:b/>
          <w:sz w:val="20"/>
          <w:szCs w:val="20"/>
          <w:lang w:val="en-GB"/>
        </w:rPr>
        <w:t>: The UE report</w:t>
      </w:r>
      <w:r>
        <w:rPr>
          <w:b/>
          <w:sz w:val="20"/>
          <w:szCs w:val="20"/>
          <w:lang w:val="en-GB"/>
        </w:rPr>
        <w:t>s</w:t>
      </w:r>
      <w:r w:rsidRPr="00817100">
        <w:rPr>
          <w:b/>
          <w:sz w:val="20"/>
          <w:szCs w:val="20"/>
          <w:lang w:val="en-GB"/>
        </w:rPr>
        <w:t xml:space="preserve"> </w:t>
      </w:r>
      <w:r>
        <w:rPr>
          <w:b/>
          <w:sz w:val="20"/>
          <w:szCs w:val="20"/>
          <w:lang w:val="en-GB"/>
        </w:rPr>
        <w:t>invalid indication</w:t>
      </w:r>
      <w:r w:rsidRPr="00817100">
        <w:rPr>
          <w:b/>
          <w:sz w:val="20"/>
          <w:szCs w:val="20"/>
          <w:lang w:val="en-GB"/>
        </w:rPr>
        <w:t xml:space="preserve"> to NW;</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C865D1">
        <w:rPr>
          <w:rFonts w:ascii="Times New Roman" w:hAnsi="Times New Roman" w:cs="Times New Roman"/>
          <w:sz w:val="20"/>
          <w:szCs w:val="20"/>
        </w:rPr>
        <w:t>]</w:t>
      </w:r>
      <w:r w:rsidR="00C865D1">
        <w:rPr>
          <w:rFonts w:ascii="Times New Roman" w:hAnsi="Times New Roman" w:cs="Times New Roman"/>
          <w:sz w:val="20"/>
          <w:szCs w:val="20"/>
        </w:rPr>
        <w:tab/>
        <w:t>RP</w:t>
      </w:r>
      <w:r>
        <w:rPr>
          <w:rFonts w:ascii="Times New Roman" w:hAnsi="Times New Roman" w:cs="Times New Roman"/>
          <w:sz w:val="20"/>
          <w:szCs w:val="20"/>
        </w:rPr>
        <w:t>-</w:t>
      </w:r>
      <w:r w:rsidR="00F82516">
        <w:rPr>
          <w:rFonts w:ascii="Times New Roman" w:hAnsi="Times New Roman" w:cs="Times New Roman"/>
          <w:sz w:val="20"/>
          <w:szCs w:val="20"/>
        </w:rPr>
        <w:t>22</w:t>
      </w:r>
      <w:r w:rsidR="00526672">
        <w:rPr>
          <w:rFonts w:ascii="Times New Roman" w:hAnsi="Times New Roman" w:cs="Times New Roman"/>
          <w:sz w:val="20"/>
          <w:szCs w:val="20"/>
        </w:rPr>
        <w:t>3520</w:t>
      </w:r>
      <w:r>
        <w:rPr>
          <w:rFonts w:ascii="Times New Roman" w:hAnsi="Times New Roman" w:cs="Times New Roman"/>
          <w:sz w:val="20"/>
          <w:szCs w:val="20"/>
        </w:rPr>
        <w:tab/>
      </w:r>
      <w:r w:rsidR="00526672" w:rsidRPr="00526672">
        <w:rPr>
          <w:rFonts w:ascii="Times New Roman" w:hAnsi="Times New Roman" w:cs="Times New Roman"/>
          <w:sz w:val="20"/>
          <w:szCs w:val="20"/>
        </w:rPr>
        <w:t>Revised WID on Further NR mobility enhancements</w:t>
      </w:r>
      <w:r w:rsidR="00076628" w:rsidRPr="00076628">
        <w:rPr>
          <w:rFonts w:ascii="Times New Roman" w:hAnsi="Times New Roman" w:cs="Times New Roman"/>
          <w:sz w:val="20"/>
          <w:szCs w:val="20"/>
        </w:rPr>
        <w:t>,</w:t>
      </w:r>
      <w:r w:rsidR="00EC5D81">
        <w:rPr>
          <w:rFonts w:ascii="Times New Roman" w:hAnsi="Times New Roman" w:cs="Times New Roman"/>
          <w:sz w:val="20"/>
          <w:szCs w:val="20"/>
        </w:rPr>
        <w:tab/>
      </w:r>
      <w:r w:rsidR="00526672">
        <w:rPr>
          <w:rFonts w:ascii="Times New Roman" w:hAnsi="Times New Roman" w:cs="Times New Roman"/>
          <w:sz w:val="20"/>
          <w:szCs w:val="20"/>
        </w:rPr>
        <w:t xml:space="preserve">MediaTek Inc., </w:t>
      </w:r>
      <w:r w:rsidR="00EC12EF">
        <w:rPr>
          <w:rFonts w:ascii="Times New Roman" w:hAnsi="Times New Roman" w:cs="Times New Roman"/>
          <w:sz w:val="20"/>
          <w:szCs w:val="20"/>
        </w:rPr>
        <w:t>Apple</w:t>
      </w:r>
    </w:p>
    <w:p w:rsidR="00F82516" w:rsidRPr="00342670" w:rsidRDefault="00F82516" w:rsidP="00F82516">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t>R4-22</w:t>
      </w:r>
      <w:r w:rsidR="00526672">
        <w:rPr>
          <w:rFonts w:ascii="Times New Roman" w:hAnsi="Times New Roman" w:cs="Times New Roman"/>
          <w:sz w:val="20"/>
          <w:szCs w:val="20"/>
        </w:rPr>
        <w:t>20415</w:t>
      </w:r>
      <w:r>
        <w:rPr>
          <w:rFonts w:ascii="Times New Roman" w:hAnsi="Times New Roman" w:cs="Times New Roman"/>
          <w:sz w:val="20"/>
          <w:szCs w:val="20"/>
        </w:rPr>
        <w:tab/>
      </w:r>
      <w:r w:rsidR="00526672" w:rsidRPr="00526672">
        <w:rPr>
          <w:rFonts w:ascii="Times New Roman" w:hAnsi="Times New Roman" w:cs="Times New Roman"/>
          <w:sz w:val="20"/>
          <w:szCs w:val="20"/>
        </w:rPr>
        <w:t>WF on improvement on FR2 SCell/SCG setup/resume</w:t>
      </w:r>
      <w:r w:rsidRPr="00076628">
        <w:rPr>
          <w:rFonts w:ascii="Times New Roman" w:hAnsi="Times New Roman" w:cs="Times New Roman"/>
          <w:sz w:val="20"/>
          <w:szCs w:val="20"/>
        </w:rPr>
        <w:t>,</w:t>
      </w:r>
      <w:r>
        <w:rPr>
          <w:rFonts w:ascii="Times New Roman" w:hAnsi="Times New Roman" w:cs="Times New Roman"/>
          <w:sz w:val="20"/>
          <w:szCs w:val="20"/>
        </w:rPr>
        <w:tab/>
      </w:r>
      <w:r w:rsidR="00526672" w:rsidRPr="00526672">
        <w:rPr>
          <w:rFonts w:ascii="Times New Roman" w:hAnsi="Times New Roman" w:cs="Times New Roman"/>
          <w:sz w:val="20"/>
          <w:szCs w:val="20"/>
        </w:rPr>
        <w:t>Apple, MediaTek Inc.</w:t>
      </w:r>
    </w:p>
    <w:p w:rsidR="00F82516" w:rsidRPr="00F82516" w:rsidRDefault="00F82516" w:rsidP="00F82516">
      <w:pPr>
        <w:rPr>
          <w:rFonts w:ascii="Times New Roman" w:hAnsi="Times New Roman" w:cs="Times New Roman"/>
          <w:sz w:val="20"/>
          <w:szCs w:val="20"/>
        </w:rPr>
      </w:pPr>
    </w:p>
    <w:sectPr w:rsidR="00F82516" w:rsidRPr="00F825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200" w:rsidRDefault="00C50200" w:rsidP="0054389C">
      <w:r>
        <w:separator/>
      </w:r>
    </w:p>
  </w:endnote>
  <w:endnote w:type="continuationSeparator" w:id="0">
    <w:p w:rsidR="00C50200" w:rsidRDefault="00C50200"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200" w:rsidRDefault="00C50200" w:rsidP="0054389C">
      <w:r>
        <w:separator/>
      </w:r>
    </w:p>
  </w:footnote>
  <w:footnote w:type="continuationSeparator" w:id="0">
    <w:p w:rsidR="00C50200" w:rsidRDefault="00C50200"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4"/>
  </w:num>
  <w:num w:numId="2">
    <w:abstractNumId w:val="3"/>
  </w:num>
  <w:num w:numId="3">
    <w:abstractNumId w:val="2"/>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34A97"/>
    <w:rsid w:val="0006677B"/>
    <w:rsid w:val="00070463"/>
    <w:rsid w:val="000716C6"/>
    <w:rsid w:val="00072D64"/>
    <w:rsid w:val="00076628"/>
    <w:rsid w:val="000823B4"/>
    <w:rsid w:val="00085B4A"/>
    <w:rsid w:val="000B3B28"/>
    <w:rsid w:val="000D163E"/>
    <w:rsid w:val="000F428C"/>
    <w:rsid w:val="000F6FE6"/>
    <w:rsid w:val="00101ACC"/>
    <w:rsid w:val="0011076E"/>
    <w:rsid w:val="0012385A"/>
    <w:rsid w:val="001260EF"/>
    <w:rsid w:val="00127301"/>
    <w:rsid w:val="00137E62"/>
    <w:rsid w:val="001452D7"/>
    <w:rsid w:val="001478E9"/>
    <w:rsid w:val="001512ED"/>
    <w:rsid w:val="0015540D"/>
    <w:rsid w:val="0016362E"/>
    <w:rsid w:val="001644B9"/>
    <w:rsid w:val="0016695D"/>
    <w:rsid w:val="00167860"/>
    <w:rsid w:val="001754BF"/>
    <w:rsid w:val="0017577F"/>
    <w:rsid w:val="001800C7"/>
    <w:rsid w:val="00180A67"/>
    <w:rsid w:val="0018503A"/>
    <w:rsid w:val="00187ADE"/>
    <w:rsid w:val="001950FB"/>
    <w:rsid w:val="00195347"/>
    <w:rsid w:val="001A0C83"/>
    <w:rsid w:val="001A1790"/>
    <w:rsid w:val="001B142A"/>
    <w:rsid w:val="001B6E2C"/>
    <w:rsid w:val="001B756E"/>
    <w:rsid w:val="001C2469"/>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3D4A"/>
    <w:rsid w:val="00205754"/>
    <w:rsid w:val="00207CF1"/>
    <w:rsid w:val="002127C7"/>
    <w:rsid w:val="00213976"/>
    <w:rsid w:val="002316C3"/>
    <w:rsid w:val="00235DBD"/>
    <w:rsid w:val="00246ADE"/>
    <w:rsid w:val="00247235"/>
    <w:rsid w:val="00253664"/>
    <w:rsid w:val="00256027"/>
    <w:rsid w:val="00261A53"/>
    <w:rsid w:val="002633C6"/>
    <w:rsid w:val="00265CD5"/>
    <w:rsid w:val="00280D74"/>
    <w:rsid w:val="00281A5A"/>
    <w:rsid w:val="00287457"/>
    <w:rsid w:val="00294705"/>
    <w:rsid w:val="002A0259"/>
    <w:rsid w:val="002B6210"/>
    <w:rsid w:val="002B652F"/>
    <w:rsid w:val="002B67F2"/>
    <w:rsid w:val="002C4CB6"/>
    <w:rsid w:val="002D018A"/>
    <w:rsid w:val="002E3574"/>
    <w:rsid w:val="002E64BA"/>
    <w:rsid w:val="002F43C6"/>
    <w:rsid w:val="002F6F34"/>
    <w:rsid w:val="003009F3"/>
    <w:rsid w:val="00305381"/>
    <w:rsid w:val="003122CE"/>
    <w:rsid w:val="0031381D"/>
    <w:rsid w:val="003178A8"/>
    <w:rsid w:val="00324A56"/>
    <w:rsid w:val="00324CCC"/>
    <w:rsid w:val="0032715E"/>
    <w:rsid w:val="00330185"/>
    <w:rsid w:val="003329CE"/>
    <w:rsid w:val="00335F55"/>
    <w:rsid w:val="00342670"/>
    <w:rsid w:val="0035479D"/>
    <w:rsid w:val="00363A14"/>
    <w:rsid w:val="003700E4"/>
    <w:rsid w:val="003702DA"/>
    <w:rsid w:val="0038659C"/>
    <w:rsid w:val="00395926"/>
    <w:rsid w:val="003A4170"/>
    <w:rsid w:val="003A4595"/>
    <w:rsid w:val="003A4A9D"/>
    <w:rsid w:val="003A555B"/>
    <w:rsid w:val="003B6133"/>
    <w:rsid w:val="003B78F5"/>
    <w:rsid w:val="003D3A49"/>
    <w:rsid w:val="003E1EB2"/>
    <w:rsid w:val="003E6CF6"/>
    <w:rsid w:val="003F6FCE"/>
    <w:rsid w:val="00402EF3"/>
    <w:rsid w:val="0041525E"/>
    <w:rsid w:val="00416279"/>
    <w:rsid w:val="004230BF"/>
    <w:rsid w:val="00431676"/>
    <w:rsid w:val="00432A04"/>
    <w:rsid w:val="00460AAF"/>
    <w:rsid w:val="00467C66"/>
    <w:rsid w:val="004718D4"/>
    <w:rsid w:val="00471AA1"/>
    <w:rsid w:val="00480320"/>
    <w:rsid w:val="00480411"/>
    <w:rsid w:val="00485068"/>
    <w:rsid w:val="0048645C"/>
    <w:rsid w:val="0049439B"/>
    <w:rsid w:val="004A2AFD"/>
    <w:rsid w:val="004A351E"/>
    <w:rsid w:val="004A3F2B"/>
    <w:rsid w:val="004C222C"/>
    <w:rsid w:val="004D00B7"/>
    <w:rsid w:val="004D26E8"/>
    <w:rsid w:val="004D2B00"/>
    <w:rsid w:val="004D3E5E"/>
    <w:rsid w:val="004D4C80"/>
    <w:rsid w:val="004D6569"/>
    <w:rsid w:val="004E1970"/>
    <w:rsid w:val="004E2808"/>
    <w:rsid w:val="004E2E67"/>
    <w:rsid w:val="004E306E"/>
    <w:rsid w:val="004F4A70"/>
    <w:rsid w:val="0050330D"/>
    <w:rsid w:val="00505332"/>
    <w:rsid w:val="005218FD"/>
    <w:rsid w:val="005221D0"/>
    <w:rsid w:val="0052273B"/>
    <w:rsid w:val="005248BF"/>
    <w:rsid w:val="00526672"/>
    <w:rsid w:val="00543855"/>
    <w:rsid w:val="0054389C"/>
    <w:rsid w:val="00545812"/>
    <w:rsid w:val="00550CD7"/>
    <w:rsid w:val="0056020E"/>
    <w:rsid w:val="00562DFE"/>
    <w:rsid w:val="00563C8B"/>
    <w:rsid w:val="00566B7A"/>
    <w:rsid w:val="00570005"/>
    <w:rsid w:val="0057452F"/>
    <w:rsid w:val="0059161C"/>
    <w:rsid w:val="00591CDB"/>
    <w:rsid w:val="005A7A53"/>
    <w:rsid w:val="005A7E7C"/>
    <w:rsid w:val="005B00A4"/>
    <w:rsid w:val="005B210E"/>
    <w:rsid w:val="005B3CDF"/>
    <w:rsid w:val="005B4847"/>
    <w:rsid w:val="005B57EF"/>
    <w:rsid w:val="005B5D35"/>
    <w:rsid w:val="005C216D"/>
    <w:rsid w:val="005C6153"/>
    <w:rsid w:val="005C6720"/>
    <w:rsid w:val="005C6FA4"/>
    <w:rsid w:val="005D0746"/>
    <w:rsid w:val="005D5C17"/>
    <w:rsid w:val="005D6647"/>
    <w:rsid w:val="005E081D"/>
    <w:rsid w:val="005F0FC1"/>
    <w:rsid w:val="005F53F5"/>
    <w:rsid w:val="005F6DF7"/>
    <w:rsid w:val="00600F78"/>
    <w:rsid w:val="006068C7"/>
    <w:rsid w:val="00611B19"/>
    <w:rsid w:val="00615A48"/>
    <w:rsid w:val="006165ED"/>
    <w:rsid w:val="006214B2"/>
    <w:rsid w:val="00621DCA"/>
    <w:rsid w:val="006241B7"/>
    <w:rsid w:val="0063093D"/>
    <w:rsid w:val="0063287F"/>
    <w:rsid w:val="0063563A"/>
    <w:rsid w:val="006367AB"/>
    <w:rsid w:val="006368BE"/>
    <w:rsid w:val="0064419F"/>
    <w:rsid w:val="006530C5"/>
    <w:rsid w:val="006602E7"/>
    <w:rsid w:val="00661CA0"/>
    <w:rsid w:val="0066419E"/>
    <w:rsid w:val="006768EF"/>
    <w:rsid w:val="006803DB"/>
    <w:rsid w:val="00680FF7"/>
    <w:rsid w:val="00685EFE"/>
    <w:rsid w:val="00687E6B"/>
    <w:rsid w:val="006A69F0"/>
    <w:rsid w:val="006C49CF"/>
    <w:rsid w:val="006D677D"/>
    <w:rsid w:val="006D7986"/>
    <w:rsid w:val="006E04B2"/>
    <w:rsid w:val="007000C2"/>
    <w:rsid w:val="007039C2"/>
    <w:rsid w:val="00704E0D"/>
    <w:rsid w:val="007070F1"/>
    <w:rsid w:val="007177E8"/>
    <w:rsid w:val="007213C7"/>
    <w:rsid w:val="00722233"/>
    <w:rsid w:val="00731CC2"/>
    <w:rsid w:val="00745132"/>
    <w:rsid w:val="007463FE"/>
    <w:rsid w:val="00752A0E"/>
    <w:rsid w:val="0075409F"/>
    <w:rsid w:val="00762B01"/>
    <w:rsid w:val="00774CC0"/>
    <w:rsid w:val="00775CBB"/>
    <w:rsid w:val="00780FFB"/>
    <w:rsid w:val="0078135A"/>
    <w:rsid w:val="00792951"/>
    <w:rsid w:val="007962F9"/>
    <w:rsid w:val="007978E0"/>
    <w:rsid w:val="007A6A3C"/>
    <w:rsid w:val="007B37C0"/>
    <w:rsid w:val="007F5703"/>
    <w:rsid w:val="0080081A"/>
    <w:rsid w:val="0080162C"/>
    <w:rsid w:val="00803D9E"/>
    <w:rsid w:val="00806B88"/>
    <w:rsid w:val="008104F7"/>
    <w:rsid w:val="00817100"/>
    <w:rsid w:val="0082167B"/>
    <w:rsid w:val="00824894"/>
    <w:rsid w:val="00836272"/>
    <w:rsid w:val="00841157"/>
    <w:rsid w:val="00841D35"/>
    <w:rsid w:val="00842B0F"/>
    <w:rsid w:val="00842FA7"/>
    <w:rsid w:val="008630DE"/>
    <w:rsid w:val="00864C17"/>
    <w:rsid w:val="00873E40"/>
    <w:rsid w:val="008753BF"/>
    <w:rsid w:val="00881233"/>
    <w:rsid w:val="0088218C"/>
    <w:rsid w:val="008827F1"/>
    <w:rsid w:val="00883B49"/>
    <w:rsid w:val="00893262"/>
    <w:rsid w:val="008960A9"/>
    <w:rsid w:val="00896E69"/>
    <w:rsid w:val="008A6635"/>
    <w:rsid w:val="008A7CA1"/>
    <w:rsid w:val="008B5966"/>
    <w:rsid w:val="008C3B63"/>
    <w:rsid w:val="008D005F"/>
    <w:rsid w:val="008D26B8"/>
    <w:rsid w:val="008D6E7B"/>
    <w:rsid w:val="008F2E97"/>
    <w:rsid w:val="008F3AB1"/>
    <w:rsid w:val="0090090C"/>
    <w:rsid w:val="009009A0"/>
    <w:rsid w:val="009071B7"/>
    <w:rsid w:val="009072EE"/>
    <w:rsid w:val="00907AC4"/>
    <w:rsid w:val="00912C53"/>
    <w:rsid w:val="00914480"/>
    <w:rsid w:val="00914F7F"/>
    <w:rsid w:val="00923785"/>
    <w:rsid w:val="00923E60"/>
    <w:rsid w:val="00927F9D"/>
    <w:rsid w:val="00930341"/>
    <w:rsid w:val="0093470E"/>
    <w:rsid w:val="009509D5"/>
    <w:rsid w:val="00951C40"/>
    <w:rsid w:val="00963620"/>
    <w:rsid w:val="00964B17"/>
    <w:rsid w:val="009650A8"/>
    <w:rsid w:val="009847E0"/>
    <w:rsid w:val="009852F7"/>
    <w:rsid w:val="00997C51"/>
    <w:rsid w:val="009A39AF"/>
    <w:rsid w:val="009A5201"/>
    <w:rsid w:val="009A7035"/>
    <w:rsid w:val="009B205D"/>
    <w:rsid w:val="009C4366"/>
    <w:rsid w:val="009E04F6"/>
    <w:rsid w:val="009E5CF4"/>
    <w:rsid w:val="009F680C"/>
    <w:rsid w:val="00A11EC7"/>
    <w:rsid w:val="00A16533"/>
    <w:rsid w:val="00A16F00"/>
    <w:rsid w:val="00A178CE"/>
    <w:rsid w:val="00A2027E"/>
    <w:rsid w:val="00A22990"/>
    <w:rsid w:val="00A276D7"/>
    <w:rsid w:val="00A3188C"/>
    <w:rsid w:val="00A3385B"/>
    <w:rsid w:val="00A33A69"/>
    <w:rsid w:val="00A3606C"/>
    <w:rsid w:val="00A44F96"/>
    <w:rsid w:val="00A56AA6"/>
    <w:rsid w:val="00A63B54"/>
    <w:rsid w:val="00A72117"/>
    <w:rsid w:val="00A80D5B"/>
    <w:rsid w:val="00A82E08"/>
    <w:rsid w:val="00A855D3"/>
    <w:rsid w:val="00A91AED"/>
    <w:rsid w:val="00A968A5"/>
    <w:rsid w:val="00AA1A10"/>
    <w:rsid w:val="00AA4AB5"/>
    <w:rsid w:val="00AB52AA"/>
    <w:rsid w:val="00AB62CD"/>
    <w:rsid w:val="00AC175E"/>
    <w:rsid w:val="00AC18ED"/>
    <w:rsid w:val="00AC19BA"/>
    <w:rsid w:val="00AC68BC"/>
    <w:rsid w:val="00AF3D27"/>
    <w:rsid w:val="00AF5BDC"/>
    <w:rsid w:val="00AF6FB1"/>
    <w:rsid w:val="00B03C1E"/>
    <w:rsid w:val="00B148C0"/>
    <w:rsid w:val="00B22A04"/>
    <w:rsid w:val="00B22C85"/>
    <w:rsid w:val="00B236AD"/>
    <w:rsid w:val="00B24E9C"/>
    <w:rsid w:val="00B25431"/>
    <w:rsid w:val="00B27573"/>
    <w:rsid w:val="00B4430F"/>
    <w:rsid w:val="00B4742F"/>
    <w:rsid w:val="00B55908"/>
    <w:rsid w:val="00B55A41"/>
    <w:rsid w:val="00B63C88"/>
    <w:rsid w:val="00B64F5F"/>
    <w:rsid w:val="00B75541"/>
    <w:rsid w:val="00B758E0"/>
    <w:rsid w:val="00B76E6F"/>
    <w:rsid w:val="00B877C2"/>
    <w:rsid w:val="00B87C96"/>
    <w:rsid w:val="00B9248B"/>
    <w:rsid w:val="00B9324E"/>
    <w:rsid w:val="00B96D2F"/>
    <w:rsid w:val="00BA0ADE"/>
    <w:rsid w:val="00BA173C"/>
    <w:rsid w:val="00BA4ED6"/>
    <w:rsid w:val="00BA5919"/>
    <w:rsid w:val="00BC06A8"/>
    <w:rsid w:val="00BD4D65"/>
    <w:rsid w:val="00BE3F60"/>
    <w:rsid w:val="00BF3D60"/>
    <w:rsid w:val="00BF58DB"/>
    <w:rsid w:val="00C032FD"/>
    <w:rsid w:val="00C116C7"/>
    <w:rsid w:val="00C11960"/>
    <w:rsid w:val="00C134E5"/>
    <w:rsid w:val="00C13829"/>
    <w:rsid w:val="00C13FAF"/>
    <w:rsid w:val="00C17DEF"/>
    <w:rsid w:val="00C21AD5"/>
    <w:rsid w:val="00C21ECC"/>
    <w:rsid w:val="00C239B6"/>
    <w:rsid w:val="00C26A62"/>
    <w:rsid w:val="00C3220A"/>
    <w:rsid w:val="00C35A65"/>
    <w:rsid w:val="00C436FD"/>
    <w:rsid w:val="00C43AAE"/>
    <w:rsid w:val="00C4446F"/>
    <w:rsid w:val="00C50200"/>
    <w:rsid w:val="00C517ED"/>
    <w:rsid w:val="00C55896"/>
    <w:rsid w:val="00C60F32"/>
    <w:rsid w:val="00C818FA"/>
    <w:rsid w:val="00C82841"/>
    <w:rsid w:val="00C865D1"/>
    <w:rsid w:val="00CA279C"/>
    <w:rsid w:val="00CA4FD9"/>
    <w:rsid w:val="00CB1A96"/>
    <w:rsid w:val="00CC3632"/>
    <w:rsid w:val="00CD1D0C"/>
    <w:rsid w:val="00CD4A10"/>
    <w:rsid w:val="00CE3D40"/>
    <w:rsid w:val="00CE592D"/>
    <w:rsid w:val="00CE747B"/>
    <w:rsid w:val="00CF0440"/>
    <w:rsid w:val="00CF2402"/>
    <w:rsid w:val="00CF6CE4"/>
    <w:rsid w:val="00D11874"/>
    <w:rsid w:val="00D222EE"/>
    <w:rsid w:val="00D4283A"/>
    <w:rsid w:val="00D478B9"/>
    <w:rsid w:val="00D522CA"/>
    <w:rsid w:val="00D52CF3"/>
    <w:rsid w:val="00D5302D"/>
    <w:rsid w:val="00D54011"/>
    <w:rsid w:val="00D552EC"/>
    <w:rsid w:val="00D64D77"/>
    <w:rsid w:val="00D652BD"/>
    <w:rsid w:val="00D749FA"/>
    <w:rsid w:val="00D74C42"/>
    <w:rsid w:val="00D77DD1"/>
    <w:rsid w:val="00D80C09"/>
    <w:rsid w:val="00D81433"/>
    <w:rsid w:val="00D82DEC"/>
    <w:rsid w:val="00D83C1B"/>
    <w:rsid w:val="00D851E7"/>
    <w:rsid w:val="00D927C9"/>
    <w:rsid w:val="00D92E42"/>
    <w:rsid w:val="00D9347C"/>
    <w:rsid w:val="00D96A56"/>
    <w:rsid w:val="00D9704C"/>
    <w:rsid w:val="00D97A9F"/>
    <w:rsid w:val="00DB0D39"/>
    <w:rsid w:val="00DB2BE3"/>
    <w:rsid w:val="00DB41D3"/>
    <w:rsid w:val="00DB6756"/>
    <w:rsid w:val="00DB6C34"/>
    <w:rsid w:val="00DC2C34"/>
    <w:rsid w:val="00DC700A"/>
    <w:rsid w:val="00DD2A2B"/>
    <w:rsid w:val="00DE3B05"/>
    <w:rsid w:val="00DE3D3B"/>
    <w:rsid w:val="00DF3A0A"/>
    <w:rsid w:val="00DF5B2C"/>
    <w:rsid w:val="00DF6BEA"/>
    <w:rsid w:val="00E01BE3"/>
    <w:rsid w:val="00E01E1C"/>
    <w:rsid w:val="00E17100"/>
    <w:rsid w:val="00E22AFE"/>
    <w:rsid w:val="00E22C6D"/>
    <w:rsid w:val="00E31398"/>
    <w:rsid w:val="00E31770"/>
    <w:rsid w:val="00E34795"/>
    <w:rsid w:val="00E34DC9"/>
    <w:rsid w:val="00E4036C"/>
    <w:rsid w:val="00E44384"/>
    <w:rsid w:val="00E46EA4"/>
    <w:rsid w:val="00E47C16"/>
    <w:rsid w:val="00E60F11"/>
    <w:rsid w:val="00E61526"/>
    <w:rsid w:val="00E6423C"/>
    <w:rsid w:val="00E70C68"/>
    <w:rsid w:val="00E74179"/>
    <w:rsid w:val="00E80307"/>
    <w:rsid w:val="00E84287"/>
    <w:rsid w:val="00E84ABF"/>
    <w:rsid w:val="00E86DEE"/>
    <w:rsid w:val="00E87B0B"/>
    <w:rsid w:val="00E92811"/>
    <w:rsid w:val="00E9336C"/>
    <w:rsid w:val="00E95DD2"/>
    <w:rsid w:val="00EA3D78"/>
    <w:rsid w:val="00EA75AF"/>
    <w:rsid w:val="00EB588E"/>
    <w:rsid w:val="00EB6560"/>
    <w:rsid w:val="00EC12EF"/>
    <w:rsid w:val="00EC1568"/>
    <w:rsid w:val="00EC380E"/>
    <w:rsid w:val="00EC4372"/>
    <w:rsid w:val="00EC5D81"/>
    <w:rsid w:val="00ED0473"/>
    <w:rsid w:val="00EE11F7"/>
    <w:rsid w:val="00EF1C76"/>
    <w:rsid w:val="00EF1CD2"/>
    <w:rsid w:val="00EF26E7"/>
    <w:rsid w:val="00EF6546"/>
    <w:rsid w:val="00EF7E88"/>
    <w:rsid w:val="00EF7F4C"/>
    <w:rsid w:val="00F03B58"/>
    <w:rsid w:val="00F1014E"/>
    <w:rsid w:val="00F13775"/>
    <w:rsid w:val="00F21425"/>
    <w:rsid w:val="00F24C4C"/>
    <w:rsid w:val="00F255DC"/>
    <w:rsid w:val="00F26184"/>
    <w:rsid w:val="00F301DE"/>
    <w:rsid w:val="00F4418F"/>
    <w:rsid w:val="00F51558"/>
    <w:rsid w:val="00F53185"/>
    <w:rsid w:val="00F553CF"/>
    <w:rsid w:val="00F6033B"/>
    <w:rsid w:val="00F643FD"/>
    <w:rsid w:val="00F65C96"/>
    <w:rsid w:val="00F7430B"/>
    <w:rsid w:val="00F81DBD"/>
    <w:rsid w:val="00F82516"/>
    <w:rsid w:val="00F8574E"/>
    <w:rsid w:val="00FA3E7F"/>
    <w:rsid w:val="00FB2E57"/>
    <w:rsid w:val="00FB54D3"/>
    <w:rsid w:val="00FC2171"/>
    <w:rsid w:val="00FC28ED"/>
    <w:rsid w:val="00FE10A3"/>
    <w:rsid w:val="00FE3908"/>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1E25E"/>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82E9F-D679-4F33-9E87-2999C1B29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14393</TotalTime>
  <Pages>2</Pages>
  <Words>634</Words>
  <Characters>3614</Characters>
  <Application>Microsoft Office Word</Application>
  <DocSecurity>0</DocSecurity>
  <Lines>30</Lines>
  <Paragraphs>8</Paragraphs>
  <ScaleCrop>false</ScaleCrop>
  <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176</cp:revision>
  <dcterms:created xsi:type="dcterms:W3CDTF">2021-01-14T12:11:00Z</dcterms:created>
  <dcterms:modified xsi:type="dcterms:W3CDTF">2023-02-17T13:14:00Z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